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7283" w14:textId="77777777"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13E2E7DB" wp14:editId="17D279BA">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BD445" w14:textId="5BB9B9BF" w:rsidR="00EB7057" w:rsidRPr="003B68F5" w:rsidRDefault="00392525" w:rsidP="00987EFE">
      <w:pPr>
        <w:tabs>
          <w:tab w:val="left" w:pos="8505"/>
        </w:tabs>
        <w:wordWrap w:val="0"/>
        <w:jc w:val="right"/>
        <w:rPr>
          <w:sz w:val="20"/>
          <w:szCs w:val="20"/>
        </w:rPr>
      </w:pPr>
      <w:r w:rsidRPr="003B68F5">
        <w:rPr>
          <w:sz w:val="20"/>
          <w:szCs w:val="20"/>
        </w:rPr>
        <w:t>下載</w:t>
      </w:r>
      <w:r w:rsidRPr="003B68F5">
        <w:rPr>
          <w:rFonts w:hint="eastAsia"/>
          <w:sz w:val="20"/>
          <w:szCs w:val="20"/>
        </w:rPr>
        <w:t>日期</w:t>
      </w:r>
      <w:r w:rsidRPr="003B68F5">
        <w:rPr>
          <w:sz w:val="20"/>
          <w:szCs w:val="20"/>
        </w:rPr>
        <w:t>：</w:t>
      </w:r>
      <w:r w:rsidR="00C811D4" w:rsidRPr="003B68F5">
        <w:rPr>
          <w:sz w:val="20"/>
          <w:szCs w:val="20"/>
        </w:rPr>
        <w:t>107年1月22日</w:t>
      </w:r>
    </w:p>
    <w:p w14:paraId="72CB3C3F" w14:textId="77777777" w:rsidR="00EB7057" w:rsidRPr="003B68F5" w:rsidRDefault="00EB7057" w:rsidP="00987EFE">
      <w:pPr>
        <w:jc w:val="right"/>
        <w:rPr>
          <w:sz w:val="20"/>
          <w:szCs w:val="20"/>
        </w:rPr>
      </w:pPr>
    </w:p>
    <w:p w14:paraId="79D32D47" w14:textId="7F17C945" w:rsidR="0067474A" w:rsidRPr="003B68F5" w:rsidRDefault="00C811D4" w:rsidP="006A7DAA">
      <w:pPr>
        <w:rPr>
          <w:sz w:val="20"/>
          <w:szCs w:val="20"/>
        </w:rPr>
      </w:pPr>
      <w:r w:rsidRPr="003B68F5">
        <w:rPr>
          <w:sz w:val="20"/>
          <w:szCs w:val="20"/>
        </w:rPr>
        <w:t>最高法院 106年度台上字第2077號</w:t>
      </w:r>
    </w:p>
    <w:p w14:paraId="4182BA48" w14:textId="7B87B999" w:rsidR="006A7DAA" w:rsidRPr="003B68F5" w:rsidRDefault="00DC1999" w:rsidP="006A7DAA">
      <w:pPr>
        <w:widowControl/>
        <w:rPr>
          <w:sz w:val="20"/>
          <w:szCs w:val="20"/>
        </w:rPr>
      </w:pPr>
      <w:r w:rsidRPr="003B68F5">
        <w:rPr>
          <w:sz w:val="20"/>
          <w:szCs w:val="20"/>
        </w:rPr>
        <w:t>【裁判字號】</w:t>
      </w:r>
      <w:r w:rsidR="00C811D4" w:rsidRPr="003B68F5">
        <w:rPr>
          <w:sz w:val="20"/>
          <w:szCs w:val="20"/>
        </w:rPr>
        <w:t>106,台上,2077</w:t>
      </w:r>
      <w:r w:rsidRPr="003B68F5">
        <w:rPr>
          <w:sz w:val="20"/>
          <w:szCs w:val="20"/>
        </w:rPr>
        <w:br/>
        <w:t>【裁判日期】</w:t>
      </w:r>
      <w:r w:rsidR="00C811D4" w:rsidRPr="003B68F5">
        <w:rPr>
          <w:sz w:val="20"/>
          <w:szCs w:val="20"/>
        </w:rPr>
        <w:t>民國106年12月20日</w:t>
      </w:r>
      <w:r w:rsidRPr="003B68F5">
        <w:rPr>
          <w:sz w:val="20"/>
          <w:szCs w:val="20"/>
        </w:rPr>
        <w:br/>
        <w:t>【裁判案由】</w:t>
      </w:r>
      <w:r w:rsidR="00C811D4" w:rsidRPr="003B68F5">
        <w:rPr>
          <w:sz w:val="20"/>
          <w:szCs w:val="20"/>
        </w:rPr>
        <w:t>請求離婚等</w:t>
      </w:r>
      <w:r w:rsidRPr="003B68F5">
        <w:rPr>
          <w:sz w:val="20"/>
          <w:szCs w:val="20"/>
        </w:rPr>
        <w:br/>
        <w:t>【裁判內文】</w:t>
      </w:r>
    </w:p>
    <w:p w14:paraId="6D3EA938" w14:textId="742A9A80" w:rsidR="00D27C82" w:rsidRDefault="00A30371">
      <w:r>
        <w:rPr>
          <w:sz w:val="20"/>
        </w:rPr>
        <w:t xml:space="preserve">最高法院民事判決　　　　　　　　　</w:t>
      </w:r>
      <w:r>
        <w:rPr>
          <w:sz w:val="20"/>
        </w:rPr>
        <w:t xml:space="preserve"> 106</w:t>
      </w:r>
      <w:r>
        <w:rPr>
          <w:sz w:val="20"/>
        </w:rPr>
        <w:t>年度台上字第</w:t>
      </w:r>
      <w:r>
        <w:rPr>
          <w:sz w:val="20"/>
        </w:rPr>
        <w:t>2077</w:t>
      </w:r>
      <w:r>
        <w:rPr>
          <w:sz w:val="20"/>
        </w:rPr>
        <w:t>號</w:t>
      </w:r>
      <w:r>
        <w:rPr>
          <w:sz w:val="20"/>
        </w:rPr>
        <w:br/>
      </w:r>
      <w:r>
        <w:rPr>
          <w:sz w:val="20"/>
        </w:rPr>
        <w:t>上　訴　人　甲ＯＯ</w:t>
      </w:r>
      <w:r>
        <w:rPr>
          <w:sz w:val="20"/>
        </w:rPr>
        <w:br/>
      </w:r>
      <w:r>
        <w:rPr>
          <w:sz w:val="20"/>
        </w:rPr>
        <w:t>訴訟代理人　吳弘鵬律師</w:t>
      </w:r>
      <w:r>
        <w:rPr>
          <w:sz w:val="20"/>
        </w:rPr>
        <w:br/>
      </w:r>
      <w:r>
        <w:rPr>
          <w:sz w:val="20"/>
        </w:rPr>
        <w:t xml:space="preserve">　　　　　　陳妍伊律師</w:t>
      </w:r>
      <w:r>
        <w:rPr>
          <w:sz w:val="20"/>
        </w:rPr>
        <w:br/>
      </w:r>
      <w:r>
        <w:rPr>
          <w:sz w:val="20"/>
        </w:rPr>
        <w:t>被</w:t>
      </w:r>
      <w:r>
        <w:rPr>
          <w:sz w:val="20"/>
        </w:rPr>
        <w:t xml:space="preserve"> </w:t>
      </w:r>
      <w:r>
        <w:rPr>
          <w:sz w:val="20"/>
        </w:rPr>
        <w:t>上訴</w:t>
      </w:r>
      <w:r>
        <w:rPr>
          <w:sz w:val="20"/>
        </w:rPr>
        <w:t xml:space="preserve"> </w:t>
      </w:r>
      <w:r>
        <w:rPr>
          <w:sz w:val="20"/>
        </w:rPr>
        <w:t>人　乙ＯＯ</w:t>
      </w:r>
      <w:r>
        <w:rPr>
          <w:sz w:val="20"/>
        </w:rPr>
        <w:br/>
      </w:r>
      <w:r>
        <w:rPr>
          <w:sz w:val="20"/>
        </w:rPr>
        <w:t>上列當事人間請求離婚等事件，上訴人對於中華民國</w:t>
      </w:r>
      <w:r>
        <w:rPr>
          <w:sz w:val="20"/>
        </w:rPr>
        <w:t>104</w:t>
      </w:r>
      <w:r>
        <w:rPr>
          <w:sz w:val="20"/>
        </w:rPr>
        <w:t>年</w:t>
      </w:r>
      <w:r>
        <w:rPr>
          <w:sz w:val="20"/>
        </w:rPr>
        <w:t>12</w:t>
      </w:r>
      <w:r>
        <w:rPr>
          <w:sz w:val="20"/>
        </w:rPr>
        <w:t>月</w:t>
      </w:r>
      <w:r>
        <w:rPr>
          <w:sz w:val="20"/>
        </w:rPr>
        <w:t>15</w:t>
      </w:r>
      <w:r>
        <w:rPr>
          <w:sz w:val="20"/>
        </w:rPr>
        <w:t>日臺灣高等法院第二審判決（</w:t>
      </w:r>
      <w:r>
        <w:rPr>
          <w:sz w:val="20"/>
        </w:rPr>
        <w:t>103</w:t>
      </w:r>
      <w:r>
        <w:rPr>
          <w:sz w:val="20"/>
        </w:rPr>
        <w:t>年度家上字第</w:t>
      </w:r>
      <w:r>
        <w:rPr>
          <w:sz w:val="20"/>
        </w:rPr>
        <w:t>17</w:t>
      </w:r>
      <w:r>
        <w:rPr>
          <w:sz w:val="20"/>
        </w:rPr>
        <w:t>號），提起上訴，本院判決如下：</w:t>
      </w:r>
      <w:r>
        <w:rPr>
          <w:sz w:val="20"/>
        </w:rPr>
        <w:br/>
      </w:r>
      <w:r>
        <w:rPr>
          <w:sz w:val="20"/>
        </w:rPr>
        <w:t>主文</w:t>
      </w:r>
      <w:r>
        <w:rPr>
          <w:sz w:val="20"/>
        </w:rPr>
        <w:br/>
      </w:r>
      <w:r>
        <w:rPr>
          <w:sz w:val="20"/>
        </w:rPr>
        <w:t>原判決關於命上訴人給付新臺幣三百六十萬零七百二十三元本息及該訴訟費用部分廢棄，發回臺灣高等法院。</w:t>
      </w:r>
      <w:r>
        <w:rPr>
          <w:sz w:val="20"/>
        </w:rPr>
        <w:br/>
      </w:r>
      <w:r>
        <w:rPr>
          <w:sz w:val="20"/>
        </w:rPr>
        <w:t>其他上訴駁回。</w:t>
      </w:r>
      <w:r>
        <w:rPr>
          <w:sz w:val="20"/>
        </w:rPr>
        <w:br/>
      </w:r>
      <w:r>
        <w:rPr>
          <w:sz w:val="20"/>
        </w:rPr>
        <w:t>第三審訴訟費用關於駁回其他上訴部分，由上訴人負擔。</w:t>
      </w:r>
      <w:r>
        <w:rPr>
          <w:sz w:val="20"/>
        </w:rPr>
        <w:br/>
      </w:r>
      <w:r>
        <w:rPr>
          <w:sz w:val="20"/>
        </w:rPr>
        <w:t>理由</w:t>
      </w:r>
      <w:r>
        <w:rPr>
          <w:sz w:val="20"/>
        </w:rPr>
        <w:br/>
      </w:r>
      <w:r>
        <w:rPr>
          <w:sz w:val="20"/>
        </w:rPr>
        <w:t>本件被上訴人主張：兩造於民國</w:t>
      </w:r>
      <w:r>
        <w:rPr>
          <w:sz w:val="20"/>
        </w:rPr>
        <w:t>65</w:t>
      </w:r>
      <w:r>
        <w:rPr>
          <w:sz w:val="20"/>
        </w:rPr>
        <w:t>年</w:t>
      </w:r>
      <w:r>
        <w:rPr>
          <w:sz w:val="20"/>
        </w:rPr>
        <w:t>9</w:t>
      </w:r>
      <w:r>
        <w:rPr>
          <w:sz w:val="20"/>
        </w:rPr>
        <w:t>月</w:t>
      </w:r>
      <w:r>
        <w:rPr>
          <w:sz w:val="20"/>
        </w:rPr>
        <w:t>25</w:t>
      </w:r>
      <w:r>
        <w:rPr>
          <w:sz w:val="20"/>
        </w:rPr>
        <w:t>日結婚後，育有子女丙ＯＯ</w:t>
      </w:r>
      <w:r>
        <w:rPr>
          <w:sz w:val="20"/>
        </w:rPr>
        <w:t>、丁ＯＯ</w:t>
      </w:r>
      <w:r>
        <w:rPr>
          <w:sz w:val="20"/>
        </w:rPr>
        <w:t>，均已成年。兩造自</w:t>
      </w:r>
      <w:r>
        <w:rPr>
          <w:sz w:val="20"/>
        </w:rPr>
        <w:t>80</w:t>
      </w:r>
      <w:r>
        <w:rPr>
          <w:sz w:val="20"/>
        </w:rPr>
        <w:t>年間起相處不睦，時有口角及肢體衝突，且上訴人於</w:t>
      </w:r>
      <w:r>
        <w:rPr>
          <w:sz w:val="20"/>
        </w:rPr>
        <w:t>96</w:t>
      </w:r>
      <w:r>
        <w:rPr>
          <w:sz w:val="20"/>
        </w:rPr>
        <w:t>年起性情大變，多次至伊工作場所喧鬧、對外傳述</w:t>
      </w:r>
      <w:r>
        <w:rPr>
          <w:sz w:val="20"/>
        </w:rPr>
        <w:t>伊與女兒有不倫關係，伊不堪精神折磨，於</w:t>
      </w:r>
      <w:r>
        <w:rPr>
          <w:sz w:val="20"/>
        </w:rPr>
        <w:t>97</w:t>
      </w:r>
      <w:r>
        <w:rPr>
          <w:sz w:val="20"/>
        </w:rPr>
        <w:t>年</w:t>
      </w:r>
      <w:r>
        <w:rPr>
          <w:sz w:val="20"/>
        </w:rPr>
        <w:t>2</w:t>
      </w:r>
      <w:r>
        <w:rPr>
          <w:sz w:val="20"/>
        </w:rPr>
        <w:t>月底與其分居迄今，惟上訴人仍以簡訊或利用丙ＯＯ</w:t>
      </w:r>
      <w:r>
        <w:rPr>
          <w:sz w:val="20"/>
        </w:rPr>
        <w:t>之電郵帳號傳送謾罵、不實誹謗之話語，兩造婚姻出現嚴重破綻，難以維持，且應可歸責於上訴人。離婚後，上訴人應將兩造之財產差額分配一半與伊等情，爰依民法第</w:t>
      </w:r>
      <w:r>
        <w:rPr>
          <w:sz w:val="20"/>
        </w:rPr>
        <w:t>1052</w:t>
      </w:r>
      <w:r>
        <w:rPr>
          <w:sz w:val="20"/>
        </w:rPr>
        <w:t>條第</w:t>
      </w:r>
      <w:r>
        <w:rPr>
          <w:sz w:val="20"/>
        </w:rPr>
        <w:t>2</w:t>
      </w:r>
      <w:r>
        <w:rPr>
          <w:sz w:val="20"/>
        </w:rPr>
        <w:t>項、第</w:t>
      </w:r>
      <w:r>
        <w:rPr>
          <w:sz w:val="20"/>
        </w:rPr>
        <w:t>1030</w:t>
      </w:r>
      <w:r>
        <w:rPr>
          <w:sz w:val="20"/>
        </w:rPr>
        <w:t>條之</w:t>
      </w:r>
      <w:r>
        <w:rPr>
          <w:sz w:val="20"/>
        </w:rPr>
        <w:t>1</w:t>
      </w:r>
      <w:r>
        <w:rPr>
          <w:sz w:val="20"/>
        </w:rPr>
        <w:t>規定，求為准伊與上訴人離婚，並命上訴人給付新臺幣（下同）</w:t>
      </w:r>
      <w:r>
        <w:rPr>
          <w:sz w:val="20"/>
        </w:rPr>
        <w:t>360</w:t>
      </w:r>
      <w:r>
        <w:rPr>
          <w:sz w:val="20"/>
        </w:rPr>
        <w:t>萬</w:t>
      </w:r>
      <w:r>
        <w:rPr>
          <w:sz w:val="20"/>
        </w:rPr>
        <w:t>0,723</w:t>
      </w:r>
      <w:r>
        <w:rPr>
          <w:sz w:val="20"/>
        </w:rPr>
        <w:t>元，及自本離婚判決確定翌日起，加付法定遲延利息之判決（未繫屬本院部分，不予贅述）。</w:t>
      </w:r>
      <w:r>
        <w:rPr>
          <w:sz w:val="20"/>
        </w:rPr>
        <w:br/>
      </w:r>
      <w:r>
        <w:rPr>
          <w:sz w:val="20"/>
        </w:rPr>
        <w:lastRenderedPageBreak/>
        <w:t>上訴人則以：簡訊及電郵係丙ＯＯ</w:t>
      </w:r>
      <w:r>
        <w:rPr>
          <w:sz w:val="20"/>
        </w:rPr>
        <w:t>以伊名義所為，伊並無婚外情或性情大變。被上訴人在外</w:t>
      </w:r>
      <w:r>
        <w:rPr>
          <w:sz w:val="20"/>
        </w:rPr>
        <w:t>積欠千萬元債務，伊猶幫忙償債，被上訴人卻離家不知去向。伊仍希望維持婚姻，被上訴人請求離婚，為無理由。伊尚有積欠借款債務未還，應列入婚後債務，以計算兩造財產差額等語，資為抗辯。</w:t>
      </w:r>
      <w:r>
        <w:rPr>
          <w:sz w:val="20"/>
        </w:rPr>
        <w:br/>
      </w:r>
      <w:r>
        <w:rPr>
          <w:sz w:val="20"/>
        </w:rPr>
        <w:t>原審審理結果以：兩造就其等於</w:t>
      </w:r>
      <w:r>
        <w:rPr>
          <w:sz w:val="20"/>
        </w:rPr>
        <w:t>65</w:t>
      </w:r>
      <w:r>
        <w:rPr>
          <w:sz w:val="20"/>
        </w:rPr>
        <w:t>年</w:t>
      </w:r>
      <w:r>
        <w:rPr>
          <w:sz w:val="20"/>
        </w:rPr>
        <w:t>9</w:t>
      </w:r>
      <w:r>
        <w:rPr>
          <w:sz w:val="20"/>
        </w:rPr>
        <w:t>月</w:t>
      </w:r>
      <w:r>
        <w:rPr>
          <w:sz w:val="20"/>
        </w:rPr>
        <w:t>25</w:t>
      </w:r>
      <w:r>
        <w:rPr>
          <w:sz w:val="20"/>
        </w:rPr>
        <w:t>日結婚，育有子女丙ＯＯ</w:t>
      </w:r>
      <w:r>
        <w:rPr>
          <w:sz w:val="20"/>
        </w:rPr>
        <w:t>、丁ＯＯ</w:t>
      </w:r>
      <w:r>
        <w:rPr>
          <w:sz w:val="20"/>
        </w:rPr>
        <w:t>，均已成年，自</w:t>
      </w:r>
      <w:r>
        <w:rPr>
          <w:sz w:val="20"/>
        </w:rPr>
        <w:t>97</w:t>
      </w:r>
      <w:r>
        <w:rPr>
          <w:sz w:val="20"/>
        </w:rPr>
        <w:t>年間分居迄今一節不爭執，堪信為真。被上訴人主張上訴人於</w:t>
      </w:r>
      <w:r>
        <w:rPr>
          <w:sz w:val="20"/>
        </w:rPr>
        <w:t>101</w:t>
      </w:r>
      <w:r>
        <w:rPr>
          <w:sz w:val="20"/>
        </w:rPr>
        <w:t>年</w:t>
      </w:r>
      <w:r>
        <w:rPr>
          <w:sz w:val="20"/>
        </w:rPr>
        <w:t>3</w:t>
      </w:r>
      <w:r>
        <w:rPr>
          <w:sz w:val="20"/>
        </w:rPr>
        <w:t>月</w:t>
      </w:r>
      <w:r>
        <w:rPr>
          <w:sz w:val="20"/>
        </w:rPr>
        <w:t>10</w:t>
      </w:r>
      <w:r>
        <w:rPr>
          <w:sz w:val="20"/>
        </w:rPr>
        <w:t>日、</w:t>
      </w:r>
      <w:r>
        <w:rPr>
          <w:sz w:val="20"/>
        </w:rPr>
        <w:t>15</w:t>
      </w:r>
      <w:r>
        <w:rPr>
          <w:sz w:val="20"/>
        </w:rPr>
        <w:t>日、</w:t>
      </w:r>
      <w:r>
        <w:rPr>
          <w:sz w:val="20"/>
        </w:rPr>
        <w:t>16</w:t>
      </w:r>
      <w:r>
        <w:rPr>
          <w:sz w:val="20"/>
        </w:rPr>
        <w:t>日</w:t>
      </w:r>
      <w:bookmarkStart w:id="0" w:name="_GoBack"/>
      <w:r>
        <w:rPr>
          <w:sz w:val="20"/>
        </w:rPr>
        <w:t>陸</w:t>
      </w:r>
      <w:bookmarkEnd w:id="0"/>
      <w:r>
        <w:rPr>
          <w:sz w:val="20"/>
        </w:rPr>
        <w:t>續傳送簡訊，以暴徒、搶匪、惡魔、死淫蟲等惡毒言語或援交嫖妓等不實事情對其謾罵誹謗，甚至波及女兒，再署名為「</w:t>
      </w:r>
      <w:r>
        <w:rPr>
          <w:rFonts w:hint="eastAsia"/>
          <w:sz w:val="20"/>
        </w:rPr>
        <w:t>Ｏ</w:t>
      </w:r>
      <w:r>
        <w:rPr>
          <w:sz w:val="20"/>
        </w:rPr>
        <w:t>」，利用丙ＯＯ</w:t>
      </w:r>
      <w:r>
        <w:rPr>
          <w:sz w:val="20"/>
        </w:rPr>
        <w:t>電子郵件信箱寄至丁ＯＯ</w:t>
      </w:r>
      <w:r>
        <w:rPr>
          <w:sz w:val="20"/>
        </w:rPr>
        <w:t>之電子郵件信</w:t>
      </w:r>
      <w:r>
        <w:rPr>
          <w:sz w:val="20"/>
        </w:rPr>
        <w:t>箱，上訴人雖不爭執其內容，惟辯稱係丙ＯＯ</w:t>
      </w:r>
      <w:r>
        <w:rPr>
          <w:sz w:val="20"/>
        </w:rPr>
        <w:t>仿其口氣所發，與其無涉云云。然依簡訊之行文口氣，為妻對夫不貞等控訴，若子對其父當不致有此嚴厲之指責；另電子郵件之行文亦係母教訓子女之口氣，並提及諸多母女間始熟知之情形，且上訴人自陳發函予丁ＯＯ</w:t>
      </w:r>
      <w:r>
        <w:rPr>
          <w:sz w:val="20"/>
        </w:rPr>
        <w:t>任職公司之負責人及婆婆，所載文義類似。況丙ＯＯ</w:t>
      </w:r>
      <w:r>
        <w:rPr>
          <w:sz w:val="20"/>
        </w:rPr>
        <w:t>本可具名指摘，何庸假託或模仿上訴人為之，被上訴人及丁ＯＯ</w:t>
      </w:r>
      <w:r>
        <w:rPr>
          <w:sz w:val="20"/>
        </w:rPr>
        <w:t>並據此聲請法院對上訴人核發民事通常保護令確定在案。而證人丁ＯＯ</w:t>
      </w:r>
      <w:r>
        <w:rPr>
          <w:sz w:val="20"/>
        </w:rPr>
        <w:t>、丙ＯＯ</w:t>
      </w:r>
      <w:r>
        <w:rPr>
          <w:sz w:val="20"/>
        </w:rPr>
        <w:t>所為證詞固有出入，惟均證稱兩造婚姻生活爭執不斷，互生傷害，甚而殃及子女生活或工作，只能分居各過各的生活等情。</w:t>
      </w:r>
      <w:r>
        <w:rPr>
          <w:sz w:val="20"/>
        </w:rPr>
        <w:t>另被上訴人於</w:t>
      </w:r>
      <w:r>
        <w:rPr>
          <w:sz w:val="20"/>
        </w:rPr>
        <w:t>95</w:t>
      </w:r>
      <w:r>
        <w:rPr>
          <w:sz w:val="20"/>
        </w:rPr>
        <w:t>年</w:t>
      </w:r>
      <w:r>
        <w:rPr>
          <w:sz w:val="20"/>
        </w:rPr>
        <w:t>4</w:t>
      </w:r>
      <w:r>
        <w:rPr>
          <w:sz w:val="20"/>
        </w:rPr>
        <w:t>月</w:t>
      </w:r>
      <w:r>
        <w:rPr>
          <w:sz w:val="20"/>
        </w:rPr>
        <w:t>11</w:t>
      </w:r>
      <w:r>
        <w:rPr>
          <w:sz w:val="20"/>
        </w:rPr>
        <w:t>日、</w:t>
      </w:r>
      <w:r>
        <w:rPr>
          <w:sz w:val="20"/>
        </w:rPr>
        <w:t>96</w:t>
      </w:r>
      <w:r>
        <w:rPr>
          <w:sz w:val="20"/>
        </w:rPr>
        <w:t>年</w:t>
      </w:r>
      <w:r>
        <w:rPr>
          <w:sz w:val="20"/>
        </w:rPr>
        <w:t>4</w:t>
      </w:r>
      <w:r>
        <w:rPr>
          <w:sz w:val="20"/>
        </w:rPr>
        <w:t>月</w:t>
      </w:r>
      <w:r>
        <w:rPr>
          <w:sz w:val="20"/>
        </w:rPr>
        <w:t>14</w:t>
      </w:r>
      <w:r>
        <w:rPr>
          <w:sz w:val="20"/>
        </w:rPr>
        <w:t>日、</w:t>
      </w:r>
      <w:r>
        <w:rPr>
          <w:sz w:val="20"/>
        </w:rPr>
        <w:t>4</w:t>
      </w:r>
      <w:r>
        <w:rPr>
          <w:sz w:val="20"/>
        </w:rPr>
        <w:t>月</w:t>
      </w:r>
      <w:r>
        <w:rPr>
          <w:sz w:val="20"/>
        </w:rPr>
        <w:t>24</w:t>
      </w:r>
      <w:r>
        <w:rPr>
          <w:sz w:val="20"/>
        </w:rPr>
        <w:t>日、</w:t>
      </w:r>
      <w:r>
        <w:rPr>
          <w:sz w:val="20"/>
        </w:rPr>
        <w:t>6</w:t>
      </w:r>
      <w:r>
        <w:rPr>
          <w:sz w:val="20"/>
        </w:rPr>
        <w:t>月</w:t>
      </w:r>
      <w:r>
        <w:rPr>
          <w:sz w:val="20"/>
        </w:rPr>
        <w:t>2</w:t>
      </w:r>
      <w:r>
        <w:rPr>
          <w:sz w:val="20"/>
        </w:rPr>
        <w:t>日、</w:t>
      </w:r>
      <w:r>
        <w:rPr>
          <w:sz w:val="20"/>
        </w:rPr>
        <w:t>7</w:t>
      </w:r>
      <w:r>
        <w:rPr>
          <w:sz w:val="20"/>
        </w:rPr>
        <w:t>月</w:t>
      </w:r>
      <w:r>
        <w:rPr>
          <w:sz w:val="20"/>
        </w:rPr>
        <w:t>22</w:t>
      </w:r>
      <w:r>
        <w:rPr>
          <w:sz w:val="20"/>
        </w:rPr>
        <w:t>日毆打上訴人，致上訴人分別受有多處擦、挫傷；復於</w:t>
      </w:r>
      <w:r>
        <w:rPr>
          <w:sz w:val="20"/>
        </w:rPr>
        <w:t>97</w:t>
      </w:r>
      <w:r>
        <w:rPr>
          <w:sz w:val="20"/>
        </w:rPr>
        <w:t>年</w:t>
      </w:r>
      <w:r>
        <w:rPr>
          <w:sz w:val="20"/>
        </w:rPr>
        <w:t>6</w:t>
      </w:r>
      <w:r>
        <w:rPr>
          <w:sz w:val="20"/>
        </w:rPr>
        <w:t>月間寫信載以討客兄云云侮辱上訴人，上訴人亦獲法院核發民事通常保護令確定。另被上訴人以上訴人與丙ＯＯ</w:t>
      </w:r>
      <w:r>
        <w:rPr>
          <w:sz w:val="20"/>
        </w:rPr>
        <w:t>偽造其名義投保壽險、不實申請理賠及侵占理賠金，向臺灣新北地方法院檢察署提起偽造文書等告訴，經不起訴處分，復聲請再議。上訴人則訴請被上訴人返還借款，並聲請假執行在案。則兩造互控對方外遇、嫖妓等，雖無實據足認為真，惟兩造及家人間勢同水火，復長期未共同生活，然仍相互指責，甚至寄發內容不</w:t>
      </w:r>
      <w:r>
        <w:rPr>
          <w:sz w:val="20"/>
        </w:rPr>
        <w:t>堪之簡訊、電子郵件，復歷經多件訴訟，夫妻互相關愛之感情不復存在，婚姻已生重大破綻，客觀上足致任何人倘處於同一境況，均將喪失維持婚姻意欲，而達難以繼續維持婚姻之重大事由，且兩造歸責責任相當，被上訴人依民法第</w:t>
      </w:r>
      <w:r>
        <w:rPr>
          <w:sz w:val="20"/>
        </w:rPr>
        <w:t>1052</w:t>
      </w:r>
      <w:r>
        <w:rPr>
          <w:sz w:val="20"/>
        </w:rPr>
        <w:t>條第</w:t>
      </w:r>
      <w:r>
        <w:rPr>
          <w:sz w:val="20"/>
        </w:rPr>
        <w:t>2</w:t>
      </w:r>
      <w:r>
        <w:rPr>
          <w:sz w:val="20"/>
        </w:rPr>
        <w:t>項規定訴請判決離婚，應予准許。</w:t>
      </w:r>
      <w:r>
        <w:rPr>
          <w:sz w:val="20"/>
        </w:rPr>
        <w:br/>
      </w:r>
      <w:r>
        <w:rPr>
          <w:sz w:val="20"/>
        </w:rPr>
        <w:t>又兩造婚後未約定夫妻財產制，被上訴人於</w:t>
      </w:r>
      <w:r>
        <w:rPr>
          <w:sz w:val="20"/>
        </w:rPr>
        <w:t>101</w:t>
      </w:r>
      <w:r>
        <w:rPr>
          <w:sz w:val="20"/>
        </w:rPr>
        <w:t>年</w:t>
      </w:r>
      <w:r>
        <w:rPr>
          <w:sz w:val="20"/>
        </w:rPr>
        <w:t>6</w:t>
      </w:r>
      <w:r>
        <w:rPr>
          <w:sz w:val="20"/>
        </w:rPr>
        <w:t>月</w:t>
      </w:r>
      <w:r>
        <w:rPr>
          <w:sz w:val="20"/>
        </w:rPr>
        <w:t>29</w:t>
      </w:r>
      <w:r>
        <w:rPr>
          <w:sz w:val="20"/>
        </w:rPr>
        <w:t>日提起本件離婚訴訟，有婚後財產</w:t>
      </w:r>
      <w:r>
        <w:rPr>
          <w:sz w:val="20"/>
        </w:rPr>
        <w:t>124</w:t>
      </w:r>
      <w:r>
        <w:rPr>
          <w:sz w:val="20"/>
        </w:rPr>
        <w:t>萬</w:t>
      </w:r>
      <w:r>
        <w:rPr>
          <w:sz w:val="20"/>
        </w:rPr>
        <w:t>7,670</w:t>
      </w:r>
      <w:r>
        <w:rPr>
          <w:sz w:val="20"/>
        </w:rPr>
        <w:t>元。上訴人所投保之保單價值計</w:t>
      </w:r>
      <w:r>
        <w:rPr>
          <w:sz w:val="20"/>
        </w:rPr>
        <w:t>171</w:t>
      </w:r>
      <w:r>
        <w:rPr>
          <w:sz w:val="20"/>
        </w:rPr>
        <w:t>萬</w:t>
      </w:r>
      <w:r>
        <w:rPr>
          <w:sz w:val="20"/>
        </w:rPr>
        <w:t>9,637</w:t>
      </w:r>
      <w:r>
        <w:rPr>
          <w:sz w:val="20"/>
        </w:rPr>
        <w:t>元、存款</w:t>
      </w:r>
      <w:r>
        <w:rPr>
          <w:sz w:val="20"/>
        </w:rPr>
        <w:t>153</w:t>
      </w:r>
      <w:r>
        <w:rPr>
          <w:sz w:val="20"/>
        </w:rPr>
        <w:t>萬</w:t>
      </w:r>
      <w:r>
        <w:rPr>
          <w:sz w:val="20"/>
        </w:rPr>
        <w:t>6,267</w:t>
      </w:r>
      <w:r>
        <w:rPr>
          <w:sz w:val="20"/>
        </w:rPr>
        <w:t>元。原判決附表二第</w:t>
      </w:r>
      <w:r>
        <w:rPr>
          <w:sz w:val="20"/>
        </w:rPr>
        <w:t>4</w:t>
      </w:r>
      <w:r>
        <w:rPr>
          <w:sz w:val="20"/>
        </w:rPr>
        <w:t>、</w:t>
      </w:r>
      <w:r>
        <w:rPr>
          <w:sz w:val="20"/>
        </w:rPr>
        <w:t>5</w:t>
      </w:r>
      <w:r>
        <w:rPr>
          <w:sz w:val="20"/>
        </w:rPr>
        <w:t>項所示房地，屬上訴人婚後財產，鑑定價值</w:t>
      </w:r>
      <w:r>
        <w:rPr>
          <w:sz w:val="20"/>
        </w:rPr>
        <w:t>854</w:t>
      </w:r>
      <w:r>
        <w:rPr>
          <w:sz w:val="20"/>
        </w:rPr>
        <w:t>萬</w:t>
      </w:r>
      <w:r>
        <w:rPr>
          <w:sz w:val="20"/>
        </w:rPr>
        <w:t>7,662</w:t>
      </w:r>
      <w:r>
        <w:rPr>
          <w:sz w:val="20"/>
        </w:rPr>
        <w:t>元，於</w:t>
      </w:r>
      <w:r>
        <w:rPr>
          <w:sz w:val="20"/>
        </w:rPr>
        <w:t>1</w:t>
      </w:r>
      <w:r>
        <w:rPr>
          <w:sz w:val="20"/>
        </w:rPr>
        <w:t>02</w:t>
      </w:r>
      <w:r>
        <w:rPr>
          <w:sz w:val="20"/>
        </w:rPr>
        <w:t>年</w:t>
      </w:r>
      <w:r>
        <w:rPr>
          <w:sz w:val="20"/>
        </w:rPr>
        <w:t>1</w:t>
      </w:r>
      <w:r>
        <w:rPr>
          <w:sz w:val="20"/>
        </w:rPr>
        <w:t>月</w:t>
      </w:r>
      <w:r>
        <w:rPr>
          <w:sz w:val="20"/>
        </w:rPr>
        <w:t>8</w:t>
      </w:r>
      <w:r>
        <w:rPr>
          <w:sz w:val="20"/>
        </w:rPr>
        <w:t>日始贈與丙ＯＯ</w:t>
      </w:r>
      <w:r>
        <w:rPr>
          <w:sz w:val="20"/>
        </w:rPr>
        <w:t>，應列入分配，又上訴人曾以該等房地向臺灣銀行擔保借款，尚有</w:t>
      </w:r>
      <w:r>
        <w:rPr>
          <w:sz w:val="20"/>
        </w:rPr>
        <w:t>335</w:t>
      </w:r>
      <w:r>
        <w:rPr>
          <w:sz w:val="20"/>
        </w:rPr>
        <w:t>萬</w:t>
      </w:r>
      <w:r>
        <w:rPr>
          <w:sz w:val="20"/>
        </w:rPr>
        <w:t>4,449</w:t>
      </w:r>
      <w:r>
        <w:rPr>
          <w:sz w:val="20"/>
        </w:rPr>
        <w:t>元未還，應列入上訴人所負債務計算，則上訴人婚後剩餘財產為</w:t>
      </w:r>
      <w:r>
        <w:rPr>
          <w:sz w:val="20"/>
        </w:rPr>
        <w:t>844</w:t>
      </w:r>
      <w:r>
        <w:rPr>
          <w:sz w:val="20"/>
        </w:rPr>
        <w:t>萬</w:t>
      </w:r>
      <w:r>
        <w:rPr>
          <w:sz w:val="20"/>
        </w:rPr>
        <w:t>9,117</w:t>
      </w:r>
      <w:r>
        <w:rPr>
          <w:sz w:val="20"/>
        </w:rPr>
        <w:t>元。兩造剩餘財產差額為</w:t>
      </w:r>
      <w:r>
        <w:rPr>
          <w:sz w:val="20"/>
        </w:rPr>
        <w:t>720</w:t>
      </w:r>
      <w:r>
        <w:rPr>
          <w:sz w:val="20"/>
        </w:rPr>
        <w:t>萬</w:t>
      </w:r>
      <w:r>
        <w:rPr>
          <w:sz w:val="20"/>
        </w:rPr>
        <w:t>1,447</w:t>
      </w:r>
      <w:r>
        <w:rPr>
          <w:sz w:val="20"/>
        </w:rPr>
        <w:t>元，上訴人未證明被上訴人有不務正業或浪費成習，於財產之增加毫無貢獻之情事，所辯應依民法第</w:t>
      </w:r>
      <w:r>
        <w:rPr>
          <w:sz w:val="20"/>
        </w:rPr>
        <w:t>1030</w:t>
      </w:r>
      <w:r>
        <w:rPr>
          <w:sz w:val="20"/>
        </w:rPr>
        <w:t>條之</w:t>
      </w:r>
      <w:r>
        <w:rPr>
          <w:sz w:val="20"/>
        </w:rPr>
        <w:t>1</w:t>
      </w:r>
      <w:r>
        <w:rPr>
          <w:sz w:val="20"/>
        </w:rPr>
        <w:t>第</w:t>
      </w:r>
      <w:r>
        <w:rPr>
          <w:sz w:val="20"/>
        </w:rPr>
        <w:t>2</w:t>
      </w:r>
      <w:r>
        <w:rPr>
          <w:sz w:val="20"/>
        </w:rPr>
        <w:t>項規定免除被上訴人之分配額，尚無足採。從而，被上訴人依上開規定，請求判准其與上訴人離婚，上訴人應給付其</w:t>
      </w:r>
      <w:r>
        <w:rPr>
          <w:sz w:val="20"/>
        </w:rPr>
        <w:t>360</w:t>
      </w:r>
      <w:r>
        <w:rPr>
          <w:sz w:val="20"/>
        </w:rPr>
        <w:t>萬</w:t>
      </w:r>
      <w:r>
        <w:rPr>
          <w:sz w:val="20"/>
        </w:rPr>
        <w:t>0,723</w:t>
      </w:r>
      <w:r>
        <w:rPr>
          <w:sz w:val="20"/>
        </w:rPr>
        <w:t>元本息，應予准許，為其心證之所由得，並說明上訴人其餘防禦方法與所舉證據</w:t>
      </w:r>
      <w:r>
        <w:rPr>
          <w:sz w:val="20"/>
        </w:rPr>
        <w:t>，不須再逐一論駁之理由，因以維持第一審所為被上訴人勝訴之判決（即准兩造離婚），暨就被上訴人追加之訴（請求剩餘財產分配部分），判決如被上訴人之聲明。</w:t>
      </w:r>
      <w:r>
        <w:rPr>
          <w:sz w:val="20"/>
        </w:rPr>
        <w:br/>
      </w:r>
      <w:r>
        <w:rPr>
          <w:sz w:val="20"/>
        </w:rPr>
        <w:lastRenderedPageBreak/>
        <w:t>關於廢棄發回（即夫妻剩餘財產差額分配）部分：</w:t>
      </w:r>
      <w:r>
        <w:rPr>
          <w:sz w:val="20"/>
        </w:rPr>
        <w:br/>
      </w:r>
      <w:r>
        <w:rPr>
          <w:sz w:val="20"/>
        </w:rPr>
        <w:t>按法定財產制關係消滅時，夫或妻現存之婚後財產，扣除婚姻關係存續所負債務後，如有剩餘，其雙方剩餘財產之差額，應平均分配，為民法第</w:t>
      </w:r>
      <w:r>
        <w:rPr>
          <w:sz w:val="20"/>
        </w:rPr>
        <w:t>1030</w:t>
      </w:r>
      <w:r>
        <w:rPr>
          <w:sz w:val="20"/>
        </w:rPr>
        <w:t>條之</w:t>
      </w:r>
      <w:r>
        <w:rPr>
          <w:sz w:val="20"/>
        </w:rPr>
        <w:t>1</w:t>
      </w:r>
      <w:r>
        <w:rPr>
          <w:sz w:val="20"/>
        </w:rPr>
        <w:t>第</w:t>
      </w:r>
      <w:r>
        <w:rPr>
          <w:sz w:val="20"/>
        </w:rPr>
        <w:t>1</w:t>
      </w:r>
      <w:r>
        <w:rPr>
          <w:sz w:val="20"/>
        </w:rPr>
        <w:t>項本文所明定。查上訴人於原審迭次辯稱：伊與丙ＯＯ</w:t>
      </w:r>
      <w:r>
        <w:rPr>
          <w:sz w:val="20"/>
        </w:rPr>
        <w:t>共同向南山人壽保險股份有限公司借款，於</w:t>
      </w:r>
      <w:r>
        <w:rPr>
          <w:sz w:val="20"/>
        </w:rPr>
        <w:t>101</w:t>
      </w:r>
      <w:r>
        <w:rPr>
          <w:sz w:val="20"/>
        </w:rPr>
        <w:t>年</w:t>
      </w:r>
      <w:r>
        <w:rPr>
          <w:sz w:val="20"/>
        </w:rPr>
        <w:t>6</w:t>
      </w:r>
      <w:r>
        <w:rPr>
          <w:sz w:val="20"/>
        </w:rPr>
        <w:t>月</w:t>
      </w:r>
      <w:r>
        <w:rPr>
          <w:sz w:val="20"/>
        </w:rPr>
        <w:t>29</w:t>
      </w:r>
      <w:r>
        <w:rPr>
          <w:sz w:val="20"/>
        </w:rPr>
        <w:t>日借款餘額</w:t>
      </w:r>
      <w:r>
        <w:rPr>
          <w:sz w:val="20"/>
        </w:rPr>
        <w:t>380</w:t>
      </w:r>
      <w:r>
        <w:rPr>
          <w:sz w:val="20"/>
        </w:rPr>
        <w:t>萬</w:t>
      </w:r>
      <w:r>
        <w:rPr>
          <w:sz w:val="20"/>
        </w:rPr>
        <w:t>2,390</w:t>
      </w:r>
      <w:r>
        <w:rPr>
          <w:sz w:val="20"/>
        </w:rPr>
        <w:t>元，另丙ＯＯ</w:t>
      </w:r>
      <w:r>
        <w:rPr>
          <w:sz w:val="20"/>
        </w:rPr>
        <w:t>向兆豐國際商業銀行借款，伊擔任連</w:t>
      </w:r>
      <w:r>
        <w:rPr>
          <w:sz w:val="20"/>
        </w:rPr>
        <w:t>帶保證人，借款餘額亦有</w:t>
      </w:r>
      <w:r>
        <w:rPr>
          <w:sz w:val="20"/>
        </w:rPr>
        <w:t>386</w:t>
      </w:r>
      <w:r>
        <w:rPr>
          <w:sz w:val="20"/>
        </w:rPr>
        <w:t>萬</w:t>
      </w:r>
      <w:r>
        <w:rPr>
          <w:sz w:val="20"/>
        </w:rPr>
        <w:t>2,160</w:t>
      </w:r>
      <w:r>
        <w:rPr>
          <w:sz w:val="20"/>
        </w:rPr>
        <w:t>元，並提出抵押借款約定書、繳款明細、</w:t>
      </w:r>
      <w:r>
        <w:rPr>
          <w:sz w:val="20"/>
        </w:rPr>
        <w:t>L202</w:t>
      </w:r>
      <w:r>
        <w:rPr>
          <w:sz w:val="20"/>
        </w:rPr>
        <w:t>放款帳號歷史資料查詢、借款契約書及</w:t>
      </w:r>
      <w:r>
        <w:rPr>
          <w:sz w:val="20"/>
        </w:rPr>
        <w:t>L5747</w:t>
      </w:r>
      <w:r>
        <w:rPr>
          <w:sz w:val="20"/>
        </w:rPr>
        <w:t>號借款契約書第一次增補條款契約書為證（原審卷</w:t>
      </w:r>
      <w:r>
        <w:rPr>
          <w:sz w:val="20"/>
        </w:rPr>
        <w:t>(</w:t>
      </w:r>
      <w:r>
        <w:rPr>
          <w:sz w:val="20"/>
        </w:rPr>
        <w:t>四</w:t>
      </w:r>
      <w:r>
        <w:rPr>
          <w:sz w:val="20"/>
        </w:rPr>
        <w:t>)</w:t>
      </w:r>
      <w:r>
        <w:rPr>
          <w:sz w:val="20"/>
        </w:rPr>
        <w:t>第</w:t>
      </w:r>
      <w:r>
        <w:rPr>
          <w:sz w:val="20"/>
        </w:rPr>
        <w:t>105</w:t>
      </w:r>
      <w:r>
        <w:rPr>
          <w:sz w:val="20"/>
        </w:rPr>
        <w:t>、</w:t>
      </w:r>
      <w:r>
        <w:rPr>
          <w:sz w:val="20"/>
        </w:rPr>
        <w:t>110-117</w:t>
      </w:r>
      <w:r>
        <w:rPr>
          <w:sz w:val="20"/>
        </w:rPr>
        <w:t>、</w:t>
      </w:r>
      <w:r>
        <w:rPr>
          <w:sz w:val="20"/>
        </w:rPr>
        <w:t>172</w:t>
      </w:r>
      <w:r>
        <w:rPr>
          <w:sz w:val="20"/>
        </w:rPr>
        <w:t>、</w:t>
      </w:r>
      <w:r>
        <w:rPr>
          <w:sz w:val="20"/>
        </w:rPr>
        <w:t>189</w:t>
      </w:r>
      <w:r>
        <w:rPr>
          <w:sz w:val="20"/>
        </w:rPr>
        <w:t>頁），乃攸關兩造婚後剩餘財產範圍之判斷，核屬其重要之防禦方法，原審恝置不論，遽行判決，自有判決不備理由之違法。上訴論旨，指摘原判決此部分違背法令，求予廢棄，非無理由。</w:t>
      </w:r>
      <w:r>
        <w:rPr>
          <w:sz w:val="20"/>
        </w:rPr>
        <w:br/>
      </w:r>
      <w:r>
        <w:rPr>
          <w:sz w:val="20"/>
        </w:rPr>
        <w:t>關於駁回其他上訴（即判准兩造離婚）部分：</w:t>
      </w:r>
      <w:r>
        <w:rPr>
          <w:sz w:val="20"/>
        </w:rPr>
        <w:br/>
      </w:r>
      <w:r>
        <w:rPr>
          <w:sz w:val="20"/>
        </w:rPr>
        <w:t>原審以上開理由，認定被上訴人得依民法第</w:t>
      </w:r>
      <w:r>
        <w:rPr>
          <w:sz w:val="20"/>
        </w:rPr>
        <w:t>1052</w:t>
      </w:r>
      <w:r>
        <w:rPr>
          <w:sz w:val="20"/>
        </w:rPr>
        <w:t>條第</w:t>
      </w:r>
      <w:r>
        <w:rPr>
          <w:sz w:val="20"/>
        </w:rPr>
        <w:t>2</w:t>
      </w:r>
      <w:r>
        <w:rPr>
          <w:sz w:val="20"/>
        </w:rPr>
        <w:t>項規定，請求與上訴人離婚，經核於</w:t>
      </w:r>
      <w:r>
        <w:rPr>
          <w:sz w:val="20"/>
        </w:rPr>
        <w:t>法並無違誤。上訴意旨，就原審取捨證據、認定事實之職權行使暨其他與判決基礎無涉之理由，指摘原判決此部分違背法令，求予廢棄，非有理由。</w:t>
      </w:r>
      <w:r>
        <w:rPr>
          <w:sz w:val="20"/>
        </w:rPr>
        <w:br/>
      </w:r>
      <w:r>
        <w:rPr>
          <w:sz w:val="20"/>
        </w:rPr>
        <w:t>據上論結，本件上訴為一部有理由、一部無理由。依家事事件法第</w:t>
      </w:r>
      <w:r>
        <w:rPr>
          <w:sz w:val="20"/>
        </w:rPr>
        <w:t>51</w:t>
      </w:r>
      <w:r>
        <w:rPr>
          <w:sz w:val="20"/>
        </w:rPr>
        <w:t>條，民事訴訟法第</w:t>
      </w:r>
      <w:r>
        <w:rPr>
          <w:sz w:val="20"/>
        </w:rPr>
        <w:t>477</w:t>
      </w:r>
      <w:r>
        <w:rPr>
          <w:sz w:val="20"/>
        </w:rPr>
        <w:t>條第</w:t>
      </w:r>
      <w:r>
        <w:rPr>
          <w:sz w:val="20"/>
        </w:rPr>
        <w:t>1</w:t>
      </w:r>
      <w:r>
        <w:rPr>
          <w:sz w:val="20"/>
        </w:rPr>
        <w:t>項、第</w:t>
      </w:r>
      <w:r>
        <w:rPr>
          <w:sz w:val="20"/>
        </w:rPr>
        <w:t>478</w:t>
      </w:r>
      <w:r>
        <w:rPr>
          <w:sz w:val="20"/>
        </w:rPr>
        <w:t>條第</w:t>
      </w:r>
      <w:r>
        <w:rPr>
          <w:sz w:val="20"/>
        </w:rPr>
        <w:t>2</w:t>
      </w:r>
      <w:r>
        <w:rPr>
          <w:sz w:val="20"/>
        </w:rPr>
        <w:t>項、第</w:t>
      </w:r>
      <w:r>
        <w:rPr>
          <w:sz w:val="20"/>
        </w:rPr>
        <w:t>481</w:t>
      </w:r>
      <w:r>
        <w:rPr>
          <w:sz w:val="20"/>
        </w:rPr>
        <w:t>條、第</w:t>
      </w:r>
      <w:r>
        <w:rPr>
          <w:sz w:val="20"/>
        </w:rPr>
        <w:t>449</w:t>
      </w:r>
      <w:r>
        <w:rPr>
          <w:sz w:val="20"/>
        </w:rPr>
        <w:t>條第</w:t>
      </w:r>
      <w:r>
        <w:rPr>
          <w:sz w:val="20"/>
        </w:rPr>
        <w:t>1</w:t>
      </w:r>
      <w:r>
        <w:rPr>
          <w:sz w:val="20"/>
        </w:rPr>
        <w:t>項、第</w:t>
      </w:r>
      <w:r>
        <w:rPr>
          <w:sz w:val="20"/>
        </w:rPr>
        <w:t>78</w:t>
      </w:r>
      <w:r>
        <w:rPr>
          <w:sz w:val="20"/>
        </w:rPr>
        <w:t>條，判決如主文。</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106    </w:t>
      </w:r>
      <w:r>
        <w:rPr>
          <w:sz w:val="20"/>
        </w:rPr>
        <w:t>年</w:t>
      </w:r>
      <w:r>
        <w:rPr>
          <w:sz w:val="20"/>
        </w:rPr>
        <w:t xml:space="preserve">    12    </w:t>
      </w:r>
      <w:r>
        <w:rPr>
          <w:sz w:val="20"/>
        </w:rPr>
        <w:t>月</w:t>
      </w:r>
      <w:r>
        <w:rPr>
          <w:sz w:val="20"/>
        </w:rPr>
        <w:t xml:space="preserve">    20    </w:t>
      </w:r>
      <w:r>
        <w:rPr>
          <w:sz w:val="20"/>
        </w:rPr>
        <w:t>日</w:t>
      </w:r>
      <w:r>
        <w:rPr>
          <w:sz w:val="20"/>
        </w:rPr>
        <w:br/>
        <w:t xml:space="preserve">                      </w:t>
      </w:r>
      <w:r>
        <w:rPr>
          <w:sz w:val="20"/>
        </w:rPr>
        <w:t>最高法院民事第五庭</w:t>
      </w:r>
      <w:r>
        <w:rPr>
          <w:sz w:val="20"/>
        </w:rPr>
        <w:br/>
        <w:t xml:space="preserve">                         </w:t>
      </w:r>
      <w:r>
        <w:rPr>
          <w:sz w:val="20"/>
        </w:rPr>
        <w:t xml:space="preserve"> </w:t>
      </w:r>
      <w:r>
        <w:rPr>
          <w:sz w:val="20"/>
        </w:rPr>
        <w:t>審判長法官</w:t>
      </w:r>
      <w:r>
        <w:rPr>
          <w:sz w:val="20"/>
        </w:rPr>
        <w:t xml:space="preserve">  </w:t>
      </w:r>
      <w:r>
        <w:rPr>
          <w:sz w:val="20"/>
        </w:rPr>
        <w:t>林</w:t>
      </w:r>
      <w:r>
        <w:rPr>
          <w:sz w:val="20"/>
        </w:rPr>
        <w:t xml:space="preserve">  </w:t>
      </w:r>
      <w:r>
        <w:rPr>
          <w:sz w:val="20"/>
        </w:rPr>
        <w:t>大</w:t>
      </w:r>
      <w:r>
        <w:rPr>
          <w:sz w:val="20"/>
        </w:rPr>
        <w:t xml:space="preserve">  </w:t>
      </w:r>
      <w:r>
        <w:rPr>
          <w:sz w:val="20"/>
        </w:rPr>
        <w:t>洋</w:t>
      </w:r>
      <w:r>
        <w:rPr>
          <w:sz w:val="20"/>
        </w:rPr>
        <w:t xml:space="preserve">  </w:t>
      </w:r>
      <w:r>
        <w:rPr>
          <w:sz w:val="20"/>
        </w:rPr>
        <w:br/>
        <w:t xml:space="preserve">                                </w:t>
      </w:r>
      <w:r>
        <w:rPr>
          <w:sz w:val="20"/>
        </w:rPr>
        <w:t>法官</w:t>
      </w:r>
      <w:r>
        <w:rPr>
          <w:sz w:val="20"/>
        </w:rPr>
        <w:t xml:space="preserve">  </w:t>
      </w:r>
      <w:r>
        <w:rPr>
          <w:sz w:val="20"/>
        </w:rPr>
        <w:t>鄭</w:t>
      </w:r>
      <w:r>
        <w:rPr>
          <w:sz w:val="20"/>
        </w:rPr>
        <w:t xml:space="preserve">  </w:t>
      </w:r>
      <w:r>
        <w:rPr>
          <w:sz w:val="20"/>
        </w:rPr>
        <w:t>傑</w:t>
      </w:r>
      <w:r>
        <w:rPr>
          <w:sz w:val="20"/>
        </w:rPr>
        <w:t xml:space="preserve">  </w:t>
      </w:r>
      <w:r>
        <w:rPr>
          <w:sz w:val="20"/>
        </w:rPr>
        <w:t>夫</w:t>
      </w:r>
      <w:r>
        <w:rPr>
          <w:sz w:val="20"/>
        </w:rPr>
        <w:t xml:space="preserve">  </w:t>
      </w:r>
      <w:r>
        <w:rPr>
          <w:sz w:val="20"/>
        </w:rPr>
        <w:br/>
        <w:t xml:space="preserve">                                </w:t>
      </w:r>
      <w:r>
        <w:rPr>
          <w:sz w:val="20"/>
        </w:rPr>
        <w:t>法官</w:t>
      </w:r>
      <w:r>
        <w:rPr>
          <w:sz w:val="20"/>
        </w:rPr>
        <w:t xml:space="preserve">  </w:t>
      </w:r>
      <w:r>
        <w:rPr>
          <w:sz w:val="20"/>
        </w:rPr>
        <w:t>蕭</w:t>
      </w:r>
      <w:r>
        <w:rPr>
          <w:sz w:val="20"/>
        </w:rPr>
        <w:t xml:space="preserve">  </w:t>
      </w:r>
      <w:r>
        <w:rPr>
          <w:sz w:val="20"/>
        </w:rPr>
        <w:t>艿</w:t>
      </w:r>
      <w:r>
        <w:rPr>
          <w:sz w:val="20"/>
        </w:rPr>
        <w:t xml:space="preserve">  </w:t>
      </w:r>
      <w:r>
        <w:rPr>
          <w:sz w:val="20"/>
        </w:rPr>
        <w:t>菁</w:t>
      </w:r>
      <w:r>
        <w:rPr>
          <w:sz w:val="20"/>
        </w:rPr>
        <w:t xml:space="preserve">  </w:t>
      </w:r>
      <w:r>
        <w:rPr>
          <w:sz w:val="20"/>
        </w:rPr>
        <w:br/>
        <w:t xml:space="preserve">                                </w:t>
      </w:r>
      <w:r>
        <w:rPr>
          <w:sz w:val="20"/>
        </w:rPr>
        <w:t>法官</w:t>
      </w:r>
      <w:r>
        <w:rPr>
          <w:sz w:val="20"/>
        </w:rPr>
        <w:t xml:space="preserve">  </w:t>
      </w:r>
      <w:r>
        <w:rPr>
          <w:sz w:val="20"/>
        </w:rPr>
        <w:t>林</w:t>
      </w:r>
      <w:r>
        <w:rPr>
          <w:sz w:val="20"/>
        </w:rPr>
        <w:t xml:space="preserve">  </w:t>
      </w:r>
      <w:r>
        <w:rPr>
          <w:sz w:val="20"/>
        </w:rPr>
        <w:t>金</w:t>
      </w:r>
      <w:r>
        <w:rPr>
          <w:sz w:val="20"/>
        </w:rPr>
        <w:t xml:space="preserve">  </w:t>
      </w:r>
      <w:r>
        <w:rPr>
          <w:sz w:val="20"/>
        </w:rPr>
        <w:t>吾</w:t>
      </w:r>
      <w:r>
        <w:rPr>
          <w:sz w:val="20"/>
        </w:rPr>
        <w:t xml:space="preserve">  </w:t>
      </w:r>
      <w:r>
        <w:rPr>
          <w:sz w:val="20"/>
        </w:rPr>
        <w:br/>
        <w:t xml:space="preserve">                                </w:t>
      </w:r>
      <w:r>
        <w:rPr>
          <w:sz w:val="20"/>
        </w:rPr>
        <w:t>法官</w:t>
      </w:r>
      <w:r>
        <w:rPr>
          <w:sz w:val="20"/>
        </w:rPr>
        <w:t xml:space="preserve">  </w:t>
      </w:r>
      <w:r>
        <w:rPr>
          <w:sz w:val="20"/>
        </w:rPr>
        <w:t>陳</w:t>
      </w:r>
      <w:r>
        <w:rPr>
          <w:sz w:val="20"/>
        </w:rPr>
        <w:t xml:space="preserve">  </w:t>
      </w:r>
      <w:r>
        <w:rPr>
          <w:sz w:val="20"/>
        </w:rPr>
        <w:t>玉</w:t>
      </w:r>
      <w:r>
        <w:rPr>
          <w:sz w:val="20"/>
        </w:rPr>
        <w:t xml:space="preserve">  </w:t>
      </w:r>
      <w:r>
        <w:rPr>
          <w:sz w:val="20"/>
        </w:rPr>
        <w:t>完</w:t>
      </w:r>
      <w:r>
        <w:rPr>
          <w:sz w:val="20"/>
        </w:rPr>
        <w:t xml:space="preserve">  </w:t>
      </w:r>
      <w:r>
        <w:rPr>
          <w:sz w:val="20"/>
        </w:rPr>
        <w:br/>
      </w:r>
      <w:r>
        <w:rPr>
          <w:sz w:val="20"/>
        </w:rPr>
        <w:t>本件正本證明與原本無異</w:t>
      </w:r>
      <w:r>
        <w:rPr>
          <w:sz w:val="20"/>
        </w:rPr>
        <w:br/>
        <w:t xml:space="preserve">                                      </w:t>
      </w:r>
      <w:r>
        <w:rPr>
          <w:sz w:val="20"/>
        </w:rPr>
        <w:t>書</w:t>
      </w:r>
      <w:r>
        <w:rPr>
          <w:sz w:val="20"/>
        </w:rPr>
        <w:t xml:space="preserve">  </w:t>
      </w:r>
      <w:r>
        <w:rPr>
          <w:sz w:val="20"/>
        </w:rPr>
        <w:t>記</w:t>
      </w:r>
      <w:r>
        <w:rPr>
          <w:sz w:val="20"/>
        </w:rPr>
        <w:t xml:space="preserve">  </w:t>
      </w:r>
      <w:r>
        <w:rPr>
          <w:sz w:val="20"/>
        </w:rPr>
        <w:t>官</w:t>
      </w:r>
      <w:r>
        <w:rPr>
          <w:sz w:val="20"/>
        </w:rPr>
        <w:t xml:space="preserve"> </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107    </w:t>
      </w:r>
      <w:r>
        <w:rPr>
          <w:sz w:val="20"/>
        </w:rPr>
        <w:t>年</w:t>
      </w:r>
      <w:r>
        <w:rPr>
          <w:sz w:val="20"/>
        </w:rPr>
        <w:t xml:space="preserve">    1     </w:t>
      </w:r>
      <w:r>
        <w:rPr>
          <w:sz w:val="20"/>
        </w:rPr>
        <w:t>月</w:t>
      </w:r>
      <w:r>
        <w:rPr>
          <w:sz w:val="20"/>
        </w:rPr>
        <w:t xml:space="preserve">    3     </w:t>
      </w:r>
      <w:r>
        <w:rPr>
          <w:sz w:val="20"/>
        </w:rPr>
        <w:t>日</w:t>
      </w:r>
    </w:p>
    <w:p w14:paraId="452F464E" w14:textId="77777777" w:rsidR="001B34E4" w:rsidRPr="003B68F5" w:rsidRDefault="00DC1999" w:rsidP="005F5B3D">
      <w:pPr>
        <w:rPr>
          <w:sz w:val="20"/>
          <w:szCs w:val="20"/>
        </w:rPr>
      </w:pPr>
      <w:r w:rsidRPr="003B68F5">
        <w:rPr>
          <w:sz w:val="20"/>
          <w:szCs w:val="20"/>
        </w:rPr>
        <w:t>歷審裁判</w:t>
      </w:r>
    </w:p>
    <w:p w14:paraId="17EEC55A" w14:textId="77777777" w:rsidR="00D27C82" w:rsidRDefault="00A30371">
      <w:r>
        <w:rPr>
          <w:sz w:val="20"/>
        </w:rPr>
        <w:t>臺灣新北地方法院</w:t>
      </w:r>
      <w:r>
        <w:rPr>
          <w:sz w:val="20"/>
        </w:rPr>
        <w:t>102</w:t>
      </w:r>
      <w:r>
        <w:rPr>
          <w:sz w:val="20"/>
        </w:rPr>
        <w:t>年度婚字第</w:t>
      </w:r>
      <w:r>
        <w:rPr>
          <w:sz w:val="20"/>
        </w:rPr>
        <w:t>94</w:t>
      </w:r>
      <w:r>
        <w:rPr>
          <w:sz w:val="20"/>
        </w:rPr>
        <w:t>號裁定</w:t>
      </w:r>
      <w:r>
        <w:rPr>
          <w:sz w:val="20"/>
        </w:rPr>
        <w:br/>
      </w:r>
      <w:r>
        <w:rPr>
          <w:sz w:val="20"/>
        </w:rPr>
        <w:t>最高法院</w:t>
      </w:r>
      <w:r>
        <w:rPr>
          <w:sz w:val="20"/>
        </w:rPr>
        <w:t>106</w:t>
      </w:r>
      <w:r>
        <w:rPr>
          <w:sz w:val="20"/>
        </w:rPr>
        <w:t>年度台上字第</w:t>
      </w:r>
      <w:r>
        <w:rPr>
          <w:sz w:val="20"/>
        </w:rPr>
        <w:t>2077</w:t>
      </w:r>
      <w:r>
        <w:rPr>
          <w:sz w:val="20"/>
        </w:rPr>
        <w:t>號判決</w:t>
      </w:r>
      <w:r>
        <w:rPr>
          <w:sz w:val="20"/>
        </w:rPr>
        <w:br/>
      </w:r>
    </w:p>
    <w:p w14:paraId="6A4CCCE2" w14:textId="3DB62A0E" w:rsidR="00573182" w:rsidRPr="003B68F5" w:rsidRDefault="00DC1999">
      <w:pPr>
        <w:rPr>
          <w:sz w:val="20"/>
          <w:szCs w:val="20"/>
        </w:rPr>
      </w:pPr>
      <w:r w:rsidRPr="003B68F5">
        <w:rPr>
          <w:sz w:val="20"/>
          <w:szCs w:val="20"/>
        </w:rPr>
        <w:lastRenderedPageBreak/>
        <w:t>相關法條</w:t>
      </w:r>
      <w:r w:rsidRPr="003B68F5">
        <w:rPr>
          <w:sz w:val="20"/>
          <w:szCs w:val="20"/>
        </w:rPr>
        <w:br/>
      </w:r>
      <w:r w:rsidR="00C811D4" w:rsidRPr="003B68F5">
        <w:rPr>
          <w:sz w:val="20"/>
          <w:szCs w:val="20"/>
        </w:rPr>
        <w:t xml:space="preserve">民法第1052條 民法第1030-1條 民法第1052條 民法第1030-1條 民法第1030-1條 民法第1052條 家事事件法第51條 民事訴訟法第477條 民事訴訟法第478條 民事訴訟法第481條 民事訴訟法第449條 民事訴訟法第78條 </w:t>
      </w:r>
    </w:p>
    <w:sectPr w:rsidR="00573182" w:rsidRPr="003B68F5" w:rsidSect="0004278D">
      <w:headerReference w:type="default" r:id="rId8"/>
      <w:pgSz w:w="11900" w:h="16840"/>
      <w:pgMar w:top="1440" w:right="1597" w:bottom="1440" w:left="1514" w:header="851" w:footer="992"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A63A" w14:textId="77777777" w:rsidR="005F108C" w:rsidRDefault="005F108C" w:rsidP="001B384B">
      <w:r>
        <w:separator/>
      </w:r>
    </w:p>
  </w:endnote>
  <w:endnote w:type="continuationSeparator" w:id="0">
    <w:p w14:paraId="6DA64E1F" w14:textId="77777777" w:rsidR="005F108C" w:rsidRDefault="005F108C"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微軟正黑體"/>
    <w:charset w:val="88"/>
    <w:family w:val="auto"/>
    <w:pitch w:val="variable"/>
    <w:sig w:usb0="00000287" w:usb1="080F0000" w:usb2="00000010" w:usb3="00000000" w:csb0="0014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0D45B" w14:textId="77777777" w:rsidR="005F108C" w:rsidRDefault="005F108C" w:rsidP="001B384B">
      <w:r>
        <w:separator/>
      </w:r>
    </w:p>
  </w:footnote>
  <w:footnote w:type="continuationSeparator" w:id="0">
    <w:p w14:paraId="582998AC" w14:textId="77777777" w:rsidR="005F108C" w:rsidRDefault="005F108C"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510B" w14:textId="77777777" w:rsidR="00392525" w:rsidRDefault="00392525" w:rsidP="00392525">
    <w:pPr>
      <w:pStyle w:val="a6"/>
      <w:jc w:val="right"/>
    </w:pPr>
  </w:p>
  <w:p w14:paraId="6455C6C5"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E36E8"/>
    <w:rsid w:val="008F0A84"/>
    <w:rsid w:val="00901B0D"/>
    <w:rsid w:val="0093091F"/>
    <w:rsid w:val="00942643"/>
    <w:rsid w:val="009438E1"/>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0371"/>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27C82"/>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D5011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10E7DE-D0CD-414A-95AB-D5BB89C3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3216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吳弘鵬律師事務所板橋所</cp:lastModifiedBy>
  <cp:revision>51</cp:revision>
  <cp:lastPrinted>2017-03-20T03:50:00Z</cp:lastPrinted>
  <dcterms:created xsi:type="dcterms:W3CDTF">2017-04-07T03:52:00Z</dcterms:created>
  <dcterms:modified xsi:type="dcterms:W3CDTF">2018-01-22T10:08:00Z</dcterms:modified>
  <cp:category/>
</cp:coreProperties>
</file>