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6373"/>
      </w:tblGrid>
      <w:tr w:rsidR="00435512" w:rsidRPr="00435512" w:rsidTr="00435512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【裁判字號】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104,</w:t>
            </w:r>
            <w:proofErr w:type="gramStart"/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審訴</w:t>
            </w:r>
            <w:proofErr w:type="gramEnd"/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,512</w:t>
            </w:r>
          </w:p>
        </w:tc>
      </w:tr>
      <w:tr w:rsidR="00435512" w:rsidRPr="00435512" w:rsidTr="00435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1041210</w:t>
            </w:r>
          </w:p>
        </w:tc>
      </w:tr>
      <w:tr w:rsidR="00435512" w:rsidRPr="00435512" w:rsidTr="00435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毒品危害防制條例</w:t>
            </w:r>
          </w:p>
        </w:tc>
      </w:tr>
      <w:tr w:rsidR="00435512" w:rsidRPr="00435512" w:rsidTr="00435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  <w:r w:rsidRPr="00435512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3"/>
              </w:rPr>
            </w:pPr>
          </w:p>
        </w:tc>
      </w:tr>
      <w:tr w:rsidR="00435512" w:rsidRPr="00435512" w:rsidTr="004355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臺灣士林地方法院刑事判決　　　　　　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104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年度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審訴字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第512號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公　訴　人　臺灣士林地方法院檢察署檢察官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被　　　告　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選任辯護人　吳弘鵬律師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上列被告因違反毒品危害防制條例案件，經檢察官提起公訴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10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4 年度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字第4439、980</w:t>
            </w:r>
            <w:bookmarkStart w:id="0" w:name="_GoBack"/>
            <w:bookmarkEnd w:id="0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5、9806號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，本院判決如下：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主  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犯如附表編號1 至9 所示之罪，各處如附表編號1 至9 所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示之主刑及從刑。應執行有期徒刑伍年陸月，未扣案之販賣毒品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所得共計新臺幣壹萬貳仟元沒收，如全部或一部不能沒收時，以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其財產抵償之；未扣案之門號○○○○○○○○○○號行動電話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壹支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（含SIM 卡壹張）沒收，如全部或一部不能沒收時，追徵其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價額。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事  實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一、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因違反藥事法案件，經本院以104 年度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審訴字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第186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號判決判處有期徒刑6 月，緩刑2 年確定（尚未執行）。其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明知甲基安非他命為毒品危害防制條例第2 條第2 項第2 款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所規定之第二級毒品，不得非法持有及販賣，竟先後基於意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圖營利販賣第二級毒品甲基安非他命之個別犯意，均利用其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所使用內含門號0000000000號行動電話用戶識別卡之行動電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話乙具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，作為販賣第二級毒品甲基安非他命之聯絡工具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各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交易對象所使用之行動電話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門號均詳如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附表所示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，分別與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如附表所示交易對象聯繫交易細節，先後於如附表所示時間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、地點，分別以如附表所示高於購買金額之價格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賣出與如附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表所示交易對象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各次交易對象、交易時間、交易地點、交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易數量、交易金額及交易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模式均詳如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附表所示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，藉此賺取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差價牟利，迄今已收取販賣第二級毒品甲基安非他命所得財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物合計新臺幣（下同）12,000元（均未扣案），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嗣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經警據報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對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持用之門號0000000000號行動電話實施通訊監察，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並於民國104 年1 月14日，經臺灣士林地方法院檢察署檢察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官指揮臺北市政府警察局內湖分局查獲，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而悉上情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二、案經臺北市政府警察局內湖分局報請臺灣士林地方法院檢察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署檢察官偵查起訴。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理 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壹、程序事項：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一、按被告以外之人於審判外之言詞或書面陳述，除法律有規定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者外，不得作為證據；又被告以外之人於審判外之陳述，雖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不符合同法第159 條之1 至第159 條之4 之規定，但經當事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人於審判程序同意作為證據，法院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審酌該言詞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陳述或書面陳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述作成時之情況，認為適當者，亦得為證據。當事人、代理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人或辯護人於法院調查證據時，知有第159 條第1 項不得為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證據之情形，而未於言詞辯論終結前聲明異議者，視為有前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項之同意，刑事訴訟法第159 條第1 項及第159 條之5 分別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定有明文。經查，本判決下列所引用之各該被告以外之人於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審判外之陳述（含書面陳述），雖屬傳聞證據，惟當事人及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辯護人迄至言詞辯論終結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前均未就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證據能力之有無聲明異議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，本院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審酌此等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證據資料製作時之情況，尚無違法不當及證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明力明顯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過低之瑕疵，亦認為以之作為證據應屬適當，故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揆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諸前開規定，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爰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依刑事訴訟法第159 條之5 規定，認前揭證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據資料均例外有證據能力，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合先敘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明。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二、茲就本判決引為證明被告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犯罪事實之證據方法，關於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證據能力認定如下：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（一）被告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於檢察官偵查中及本院準備程序期日、審理中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所為之自白，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均無出於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強暴、脅迫、利誘、詐欺、疲勞訊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問、違法羈押或其他不正之方法，亦非違反法定障礙事由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經過期間不得訊問或告知義務之規定而為，依刑事訴訟法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第156 條第1 項、第158 條之2 規定，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均具證據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能力。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（二）證人謝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、謝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、李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、周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中所為之陳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述，為被告以外之人於審判外之言詞陳述，經本院於審判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程序提示予被告及其選任辯護人並告以要旨，經檢察官、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被告及選任辯護人均表示沒有意見，於言詞辯論終結前復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未聲明異議，又本院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審酌前開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證人等警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筆錄之記載，並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無不正取供或誤導指認之情事，且證人等於警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時亦無具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結之可能，是就上開證人等於審判外之言詞陳述作成時之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情況，認為適當，依刑事訴訟法第159 條之5 規定意旨，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例外具有證據能力。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（三）證人謝○○、謝○○、李○○、周○○於偵查中向檢察官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所為之陳述，固屬被告以外之人於審判外之言詞陳述，惟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檢察官係國家公務員，代表國家偵查犯罪，實行公訴，而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實務運作時，檢察官向被告以外之人所取得之陳述，原則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上均能遵守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法律規定，不致違法取供，其可信度極高，此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外，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復無其他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顯不可信情況，而證人等亦經依法具結在案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，是就該審判外之言詞陳述，依刑事訴訟法第159 條之1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第2 項規定，亦應例外認為具有證據能力。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（四）本案所採用為證據之監聽譯文（詳後述），係司法警察依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本院法官所核發之通訊監察書監聽所得，有本院103 年聲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監字第000464號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通訊監察書1 份在卷可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稽（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號卷第68頁）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，而該監聽譯文之內容係有關被告以門號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0000000000號行動電話與附表所示各交易相對人謝○○、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李○○、周○○談論毒品販賣相關事宜，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係屬受監察人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即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被告進行本件犯罪行為之對話內容，並非所謂被告或被告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以外之人於審判外之陳述。且被告及其選任辯護人於本院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審理中，對該通訊監察譯文之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真實性俱未爭執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，本院於審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判期日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調查證據時，並已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踐行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向當事人、辯護人提示上揭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監聽譯文等程序，該監聽譯文自屬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調查完足之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合法證據，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亦具有證據能力。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貳、實體事項：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一、認定犯罪事實之證據及理由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（一）就附表編號1 所示部分，業據被告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時、偵查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中、本院準備程序及審理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時均已坦承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不諱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號卷第17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至23、157 至160 頁，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本院卷第54頁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背面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，核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與證人謝○○、謝○○於警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、偵查中之證詞大致相符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第39至44、45至51、124 至125 頁，他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第2748號卷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第51至52頁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，並有證人謝○○與被告通訊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監察譯文、證人謝○○之尿液檢體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委驗單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、台灣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生技醫藥股份有限公司濫用藥物檢驗報告各1 份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在卷可參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（見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第75、85、87、至頁）。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（二）就附表編號2 、3 所示部分，業據被告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偵查中、本院準備程序及審理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時均已坦承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不諱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第17至23頁，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本院卷第54頁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背面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，核與證人李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○○於警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、偵查中之證詞大致相符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字第4439號卷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第33至38、121 至122 頁，他字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第2748號卷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第54至55頁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，並有指認犯罪嫌疑人紀錄表、證人李○○與被告通訊監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察譯文、證人李○○之尿液檢體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委驗單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、台灣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技醫藥股份有限公司濫用藥物檢驗報告各1 份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在卷可參（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第54至58、74、79、81至頁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（三）就附表編號4至9 所示部分，業據被告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偵查中、本院準備程序及審理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時均已坦承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不諱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第17至23頁，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本院卷第54頁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背面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，核與證人周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○○於警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、偵查中之證詞大致相符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字第4439號卷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第24至32、128 至129 頁，他字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第2748號卷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第72至74頁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，並有指認犯罪嫌疑人紀錄表、證人周○○與被告通訊監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察譯文、證人周○○之尿液檢體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委驗單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、台灣○○生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技醫藥股份有限公司濫用藥物檢驗報告各1 份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在卷可參（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第53、72至73、76、78頁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（四）按販賣毒品罪之販賣行為，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祇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須行為人主觀上有營利意圖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，進而與應買者就毒品標的物與價金等買賣毒品之重要內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容有所意思表示而達成契約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之合致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，即足當之；而販賣行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為之完成與否，則有賴標的物之是否交付為區分既、未遂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之標準，苟標的物尚未交付，縱行為人已收受價金，仍難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謂其販賣行為已屬完成；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反之，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如標的物已交付，縱買賣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價金尚未給付，仍應論以販賣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既遂罪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。至於實際上是否已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經獲利及所獲之利益是否為現金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例如以償債或作為勞務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之報酬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而抵作工資）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均非所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問；必也始終無營利之意思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，而以原價或低於原價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有償讓與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他人，方難謂為販賣行為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，而僅得以轉讓毒品罪論處。經查，被告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就如附表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各編號所示部分，先後於如上述附表所示時間、地點，分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別以如附表所示價格販賣第二級毒品甲基安非他命與交易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對象謝○○、李○○、周○○等情，業經本院依積極證據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詳加認定如上，而被告自承其等各次販賣第二級毒品之目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的，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均係從中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賺取少額報酬、油錢或餐費補貼營利，並非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無償協助調貨或共同出資向他人購買等情明確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見本院卷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第54頁背面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，是其主觀上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確均有販賣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第二級毒品藉以從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中牟利之意圖，堪以認定。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（五）綜上所述，本件事證明確，被告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犯行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堪認定，均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應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依法論科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二、新舊法比較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所為如附表各編號所示行為後，毒品危害防制條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例第4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條業於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104 年2 月4 日修正公布施行，並自同年月6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日生效，修正前毒品危害防制條例第4 條規定：「製造、運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輸、販賣第一級毒品者，處死刑或無期徒刑；處無期徒刑者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科新臺幣二千萬元以下罰金。製造、運輸、販賣第二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級毒品者，處無期徒刑或七年以上有期徒刑，得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一千萬元以下罰金。製造、運輸、販賣第三級毒品者，處五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年以上有期徒刑，得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科新臺幣七百萬元以下罰金。製造、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運輸、販賣第四級毒品者，處三年以上十年以下有期徒刑，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百萬元以下罰金。製造、運輸、販賣專供製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造或施用毒品之器具者，處一年以上七年以下有期徒刑，得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百萬元以下罰金。前五項之未遂犯罰之。」；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修正後毒品危害防制條例第4 條則規定：「製造、運輸、販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賣第一級毒品者，處死刑或無期徒刑；處無期徒刑者，得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科新臺幣二千萬元以下罰金。製造、運輸、販賣第二級毒品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者，處無期徒刑或七年以上有期徒刑，得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科新臺幣一千萬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元以下罰金。製造、運輸、販賣第三級毒品者，處七年以上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科新臺幣七百萬元以下罰金。製造、運輸、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販賣第四級毒品者，處五年以上十二年以下有期徒刑，得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科新臺幣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百萬元以下罰金。製造、運輸、販賣專供製造或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施用毒品之器具者，處一年以上七年以下有期徒刑，得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科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新臺幣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百萬元以下罰金。前五項之未遂犯罰之。」。則自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修正前後之條文規範內容以觀，毒品危害防制條例第4 條第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2 項，就被告各次販賣第二級毒品部分，並未更動構成要件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內容及處罰輕重，無比較新舊法以適用之問題，應依一般法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律適用原則，逕行適用裁判時法即現行毒品危害防制條例第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4 條第2 項之規定。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三、論罪科刑部分：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（一）論罪：核被告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就附表編號1 至9 所為部分，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各係犯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毒品危害防制條例第4 條第2 項之販賣第二級毒品罪。又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被告於販賣前持有甲基安非他命之低度行為，應為販賣之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高度行為所吸收，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另論罪。被告所犯上開販賣第二級毒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品罪9 罪，犯意各別，應分論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罰。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（二）刑之減輕事由：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１、按毒品危害防制條例第17條第2 項規定：「犯第4 條至第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8 條之罪於偵查及審判中均自白者，減輕其刑」，其中所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稱之「偵查及審判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中均有自白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」僅須於偵查中及審判中各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有1 次（或1 次以上）自白，即符合上開減輕其刑之規定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，毋庸要求其於偵審中始終自白犯罪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最高法院</w:t>
            </w:r>
            <w:hyperlink r:id="rId4" w:tgtFrame="_blank" w:history="1">
              <w:r w:rsidRPr="00435512">
                <w:rPr>
                  <w:rFonts w:ascii="細明體" w:eastAsia="細明體" w:hAnsi="細明體" w:cs="細明體" w:hint="eastAsia"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</w:rPr>
                <w:t>100 年度</w:t>
              </w:r>
            </w:hyperlink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br/>
              <w:t>      </w:t>
            </w:r>
            <w:hyperlink r:id="rId5" w:tgtFrame="_blank" w:history="1">
              <w:r w:rsidRPr="00435512">
                <w:rPr>
                  <w:rFonts w:ascii="細明體" w:eastAsia="細明體" w:hAnsi="細明體" w:cs="細明體" w:hint="eastAsia"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</w:rPr>
                <w:t>台上字第4802號</w:t>
              </w:r>
            </w:hyperlink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判決意旨參照）。經查，被告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就其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所為如附表編號1 至9 所載販賣第二級毒品甲基安非他命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犯行，於檢察官偵查中及本院審判中均自白犯行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第17至23、157 至160 頁，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本院卷第54頁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背面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），依據前揭最高法院判決意旨，應認均符合減刑要件，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爰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依毒品危害防制條例第17條第2 項規定均減輕其刑。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２、另按毒品危害防制條例第17條第1 項規定為：「犯第4 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至第8 條、第10條或第11條之罪，供出毒品來源，因而查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獲其他正犯或共犯者，減輕或免除其刑。」其立法旨意在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於鼓勵被告具體提供其毒品上游，擴大追查毒品來源，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俾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有效斷絕毒品之供給，以杜絕毒品泛濫，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祇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須被告願意供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出毒品來源之上手，因而查獲其他正犯或共犯者，即可獲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邀減輕或免除其刑之寬典。所謂「供出毒品來源，因而查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獲」，係指被告詳實供出毒品來源之具體事證，因而使有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偵查（或調查）犯罪職權之公務員知悉而對之發動偵查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或調查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，並因而查獲者而言。而其中所言「查獲」，係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指各該犯罪者供出其毒品來源者之具體人別資料，例如：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姓名、年籍、住居所或其他足資辨別之特徵，使偵查犯罪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之公務員因而對之發動偵查，並查得該毒品來源者之犯罪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而言（最高法院</w:t>
            </w:r>
            <w:hyperlink r:id="rId6" w:tgtFrame="_blank" w:history="1">
              <w:r w:rsidRPr="00435512">
                <w:rPr>
                  <w:rFonts w:ascii="細明體" w:eastAsia="細明體" w:hAnsi="細明體" w:cs="細明體" w:hint="eastAsia"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</w:rPr>
                <w:t>99年度台非字第293 號</w:t>
              </w:r>
            </w:hyperlink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判決意旨參照）。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經查，被告於104 年1 月14日因施用毒品案件，為警持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拘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票拘提到案時，業已供出其毒品來源為綽號「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猴子」之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（音譯）」，且供出其交易之地點，核與事後查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緝之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游凱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賓之住所相近（見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第4439號卷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第10至12頁）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，復於104 年2 月13日因本案販賣第二級毒品犯行之警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中，明確指認「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」之真實姓名為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○○，即為本案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販賣第二級毒品甲基安非他命之上手等語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號偵查卷第14、23頁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嗣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於104 年6 月30日偵訊中，再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供稱其毒品來源為郭宇軒等語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字第4439號偵查卷第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160 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，另經本院依職權向臺北市政府警察局內湖分局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函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回覆稱：經蒐集資料，確認犯嫌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○○、郭宇軒身分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及住處後，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持本院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所核發之搜索票至二人住處執行搜索，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於犯嫌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○○住處起獲安非他命吸食器1 組、電子磅秤及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愷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他命1 包及犯嫌郭宇軒住處起獲安非他命吸食器1 組、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安非他命殘渣袋1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、電子磅秤及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夾鏈袋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50個等相關證物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，並就其等販賣毒品予被告部分，移送臺灣士林地方法院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檢察署偵辦等語，有臺北市政府警察局內湖分局104 年10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月12日北市警內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分刑字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第00000000000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號函暨職務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報告附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卷可參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（見本院卷第57、58頁），又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○○、郭宇軒所涉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販賣甲基安非他命之犯行，業經臺灣士林地方法院檢察署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104 年度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字第9325號偵辦中，並附被告供述筆錄、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游凱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賓、郭宇軒等人之警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、偵查筆錄在卷可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憑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復佐以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郭宇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軒於警詢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中自承：他曾幫被告購買過第二級毒品甲基安非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他3 、4 次，時間地點已不復記憶，但已有相當時間未與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被告聯絡等語（見上開偵查卷第13頁正面），已足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被告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確實有供出上手因而查獲之情事，至上開偵查案件之偵辦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方向及偵查作為雖以104 年1 月10日、11日、同年4 月4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日、同年4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月間及同年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5 月22日等時間為查緝之方向，形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式上尚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難與被告本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件販買如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附表所示第二級毒品之時間則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係自103 年12月8 日起至103 年12月27日止之各該時間相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對應，惟此乃該案員警及檢察官主導偵辦方向所致，以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查作為本為具有流動及變化之特質，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應認上開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偵查之發動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，確係被告本案販賣毒品之來源與其所供出之上手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、郭宇軒等人而有以致之，且不應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囿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於偵查不公開及階段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性之本旨，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即認上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開查獲之事實與被告被訴之各該違反毒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品危害防制條例犯行不具直接關聯性，是以本案基於鼓勵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被告具體提供其毒品上游，擴大追查毒品來源，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俾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有效斷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絕毒品之供給，以杜絕毒品泛濫之立法理由，應認被告犯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附表編號1 至9 所示之販賣第二級毒品罪，確有供出毒品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來源，因而查獲其他正犯，各依毒品危害防制條例第17條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第1 項規定減輕其刑，並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依法遞予減輕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其刑。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（三）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爰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審酌被告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不思依循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正軌賺取金錢，竟無視國家杜絕毒品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犯罪之禁令，販賣第二級毒品甲基安非他命，不僅肇生他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人施用毒品之意欲與來源，戕害國民之身心健康，且有滋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生其他犯罪之可能，對社會秩序潛藏相當程度之危害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二級毒品甲基安非他命具成癮性，長期使用會造成多疑、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妄想、情緒不穩、易怒、視幻覺、聽幻覺、觸幻覺或睡眠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障礙。停用之戒斷症狀包括疲倦、沮喪、焦慮、易怒、全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身無力，嚴重者甚至出現自殘或暴力攻擊行為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兼衡酌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被告年僅22歲，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甫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於103 年間因施用毒品案件，經本院10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3 年度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毒聲字第235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號裁定送觀察勒戒，認無繼續施用毒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品傾向，經臺灣士林地方法院檢察署檢察官於104 年2 月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26日以103 年度毒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偵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字第1590號不起訴處分確定，且於本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案犯罪前（即103 年12月8 日起至同年12月27日止）並無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因犯罪而經法院為科刑判決之紀錄，此有臺灣高等法院被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告前案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紀錄表在卷可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，足見其意圖販賣而持有毒品行為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當僅係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因自己身染施用毒品惡習，為補吸毒開銷，一時貪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念所為，尚未達專以販毒營生之程度、販賣第二級毒品之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次數、數量及所得款項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被告販賣第二級毒品之對象尚非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廣泛，且各次交付之數量及販賣所得利益非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鉅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，對社會危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害程度及影響層面仍與大量販賣第二級毒品甲基安非他命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以賺取巨額利潤之行為有別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、犯後坦承犯行之態度、品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性素行、生活狀況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未婚、目前從事電纜線之安裝、母親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改嫁、父親去逝、胞兄亦因毒品案件入監服刑中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、教育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程度為高中畢業等一切情狀，分別量處如主文所示之刑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罪名及宣告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刑均詳如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附表所示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，並綜合考量整體犯罪非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難評價、各次犯行與被告前案紀錄之關聯性、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數罪對法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侵害之加重效應及刑罰之內部界限，定其應執行之刑，以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符合罪刑相當及比例原則，實現刑罰權之公平正義。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四、沒收部分：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按毒品危害防制條例第19條第1 項規定，犯販賣毒品罪者，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其犯罪所得之財物均沒收之，如全部或一部不能沒收時，追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徵其價額或以其財產抵償之，係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義務沒收主義。故販賣毒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品所得之金錢，如能認定係販賣毒品所得款項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例如販毒所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得款項，業經消費寄託或消費借貸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貸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與他人，則應認該販賣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所得款項仍屬存在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，不以當場搜獲扣押者為限，亦不問其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中成本若干，利潤多少，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均應全部諭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知沒收，貫徹政府查禁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煙毒之決心，以符立法本旨。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惟所稱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因犯罪所得之財物，係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以實際所得者為限，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不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及於因犯罪所得之利益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例如取得「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抵銷債務」之財產上利益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，苟無所得財物或尚未取得者，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自無從為沒收、追繳或以財產抵償之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諭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知；又所謂追徵其價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額者，必限於所沒收之物為我國現行貨幣以外之其他財物而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無法沒收時，始應追徵其價額，使其繳納與原物或原外國、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大陸地區貨幣相當之價額。如犯罪所得之金錢為新臺幣，因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其本身即為我國現行貨幣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中央銀行發行新臺幣辦法第2 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參照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價值之表示，自不發生追徵其價額之問題。經查：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（一）被告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就如附表編號1 至9 所為販賣第二級毒品甲基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安非他命犯行，分別向交易相對人謝○○、李○○、周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實際收取如附表所示之價金，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雖均未扣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案，惟仍屬被告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販毒所得，依據前揭說明，應依毒品危害防制條例第19條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第1 項規定，分別於被告所犯如附表編號1 至9 所示各罪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之主刑項下宣告沒收，如全部或一部不能沒收時，以其財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產抵償之。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（二）未扣案之門號0000000000號行動電話1 支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含SIM 卡1 張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，其中之行動電話門號SIM 卡，係電信公司於出租行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動電話門號予消費者使用時，即同時附帶提供之晶片卡，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作為消費者門號使用之介面，故電信公司接受消費者申辦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門號並將該門號開通上線時，該晶片卡之所有權已移轉於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消費者（最高法院</w:t>
            </w:r>
            <w:hyperlink r:id="rId7" w:tgtFrame="_blank" w:history="1">
              <w:r w:rsidRPr="00435512">
                <w:rPr>
                  <w:rFonts w:ascii="細明體" w:eastAsia="細明體" w:hAnsi="細明體" w:cs="細明體" w:hint="eastAsia"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</w:rPr>
                <w:t>99年度台上字第2736號</w:t>
              </w:r>
            </w:hyperlink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判決意旨參照）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，又上開行動電話門號既係被告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蔡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○○</w:t>
            </w: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所有供本案如附表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編號1 至9 所示販賣第二級毒品犯罪所使用之工具，既無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證據證明業已滅失，自應依毒品危害防制條例第19條第1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項規定於被告所犯如附表編號1 至9 所示各罪之主刑項下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lastRenderedPageBreak/>
              <w:t xml:space="preserve">      均宣告沒收，又因係屬特定之物，依照前揭說明，應同時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諭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知如全部或一部不能沒收時，追徵其價額。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據上論斷，應依刑事訴訟法第299 條第1 項前段，毒品危害防制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條例第4 條第2 項、第17條第1 項、第2 項、第19條第1 項，刑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法第11條、第51條第5 款、第9 款，判決如主文。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本案經檢察官張聰耀到庭執行職務。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    華    民    國  104     年    12    月    10    日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            刑事第九庭審判長法  官  林秀鳳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                            法  官  陳彥宏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                            法  官  劉兆菊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以上正本證明與原本無異。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如不服本判決應於收受送達後 10 日內向本院提出上訴書狀，並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應敘述具體理由。其未敘述上訴理由者，應於上訴期間屆滿後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20 日內向本院補提理由書 (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均須按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他造當事人之人數附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繕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本 )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「切勿</w:t>
            </w:r>
            <w:proofErr w:type="gramStart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逕</w:t>
            </w:r>
            <w:proofErr w:type="gramEnd"/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送上級法院」。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 xml:space="preserve">                                  書記官  張耕華</w:t>
            </w:r>
          </w:p>
          <w:p w:rsidR="00435512" w:rsidRPr="00435512" w:rsidRDefault="00435512" w:rsidP="004355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 w:themeColor="text1"/>
                <w:kern w:val="0"/>
                <w:szCs w:val="24"/>
              </w:rPr>
            </w:pPr>
            <w:r w:rsidRPr="00435512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中    華    民    國   104    年    12    月    14    日</w:t>
            </w:r>
          </w:p>
        </w:tc>
      </w:tr>
    </w:tbl>
    <w:p w:rsidR="00DF6397" w:rsidRPr="00435512" w:rsidRDefault="00435512">
      <w:pPr>
        <w:rPr>
          <w:color w:val="000000" w:themeColor="text1"/>
        </w:rPr>
      </w:pPr>
    </w:p>
    <w:sectPr w:rsidR="00DF6397" w:rsidRPr="00435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12"/>
    <w:rsid w:val="000B51C5"/>
    <w:rsid w:val="00435512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EC09"/>
  <w15:chartTrackingRefBased/>
  <w15:docId w15:val="{0D28425B-A5F9-4990-ADB6-B5EB8E57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55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35512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3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yjud.lawbank.com.tw/content4.aspx?p=ExKZIgGGiQD19KUxjSulmXzoh8fFu%2bddK54BFwoj%2bdmR%2fp4kSetMbStzW49R7ciE%2bhHg3WVUsm8tv0cC03B4V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jud.lawbank.com.tw/content4.aspx?p=ExKZIgGGiQD19KUxjSulmXzoh8fFu%2bddK54BFwoj%2bdk9%2bUxrzQIlUtAlzItu15WkfY5EI7GQDRFe7YYULudmpQ%3d%3d" TargetMode="External"/><Relationship Id="rId5" Type="http://schemas.openxmlformats.org/officeDocument/2006/relationships/hyperlink" Target="http://fyjud.lawbank.com.tw/content4.aspx?p=ExKZIgGGiQD19KUxjSulmXTjVb0efy4Gq5T54Ps1SCbH%2f67Z52u84y6sYbmFIOGTrfJ7d%2fsmaC%2bySlOhXzDgew%3d%3d" TargetMode="External"/><Relationship Id="rId4" Type="http://schemas.openxmlformats.org/officeDocument/2006/relationships/hyperlink" Target="http://fyjud.lawbank.com.tw/content4.aspx?p=ExKZIgGGiQD19KUxjSulmXTjVb0efy4Gq5T54Ps1SCbH%2f67Z52u84y6sYbmFIOGTrfJ7d%2fsmaC%2bySlOhXzDgew%3d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2016-05-03T09:51:00Z</dcterms:created>
  <dcterms:modified xsi:type="dcterms:W3CDTF">2016-05-03T10:03:00Z</dcterms:modified>
</cp:coreProperties>
</file>